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CIRCUIT COURT OF THE _______ JUDICIAL CIRCUIT</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 COUNTY, ILLINOIS</w:t>
      </w:r>
    </w:p>
    <w:p w:rsidR="00000000" w:rsidDel="00000000" w:rsidP="00000000" w:rsidRDefault="00000000" w:rsidRPr="00000000" w14:paraId="00000005">
      <w:pPr>
        <w:tabs>
          <w:tab w:val="left" w:pos="50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tabs>
          <w:tab w:val="left" w:pos="504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7">
      <w:pPr>
        <w:tabs>
          <w:tab w:val="left" w:pos="5040"/>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PEOPLE OF THE STATE OF ILLINOIS, </w:t>
        <w:tab/>
        <w:t xml:space="preserve">]</w:t>
      </w:r>
    </w:p>
    <w:p w:rsidR="00000000" w:rsidDel="00000000" w:rsidP="00000000" w:rsidRDefault="00000000" w:rsidRPr="00000000" w14:paraId="00000008">
      <w:pPr>
        <w:tabs>
          <w:tab w:val="left" w:pos="3600"/>
          <w:tab w:val="left" w:pos="5040"/>
        </w:tabs>
        <w:ind w:left="15" w:firstLine="70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Plaintiff,</w:t>
        <w:tab/>
        <w:t xml:space="preserve">]</w:t>
      </w:r>
    </w:p>
    <w:p w:rsidR="00000000" w:rsidDel="00000000" w:rsidP="00000000" w:rsidRDefault="00000000" w:rsidRPr="00000000" w14:paraId="00000009">
      <w:pPr>
        <w:tabs>
          <w:tab w:val="left" w:pos="2325"/>
          <w:tab w:val="left" w:pos="4230"/>
        </w:tabs>
        <w:spacing w:after="0" w:lineRule="auto"/>
        <w:ind w:left="-5" w:firstLine="70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vs</w:t>
        <w:tab/>
        <w:t xml:space="preserve">             </w:t>
        <w:tab/>
        <w:t xml:space="preserve">]</w:t>
        <w:tab/>
        <w:tab/>
        <w:t xml:space="preserve">No: ____________________</w:t>
      </w:r>
    </w:p>
    <w:p w:rsidR="00000000" w:rsidDel="00000000" w:rsidP="00000000" w:rsidRDefault="00000000" w:rsidRPr="00000000" w14:paraId="0000000A">
      <w:pPr>
        <w:tabs>
          <w:tab w:val="left" w:pos="4860"/>
        </w:tabs>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w:t>
        <w:tab/>
        <w:tab/>
        <w:t xml:space="preserve">]</w:t>
      </w:r>
    </w:p>
    <w:p w:rsidR="00000000" w:rsidDel="00000000" w:rsidP="00000000" w:rsidRDefault="00000000" w:rsidRPr="00000000" w14:paraId="0000000B">
      <w:pPr>
        <w:spacing w:after="0" w:lineRule="auto"/>
        <w:ind w:left="288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Defendant.</w:t>
        <w:tab/>
        <w:t xml:space="preserve">]</w:t>
      </w:r>
    </w:p>
    <w:p w:rsidR="00000000" w:rsidDel="00000000" w:rsidP="00000000" w:rsidRDefault="00000000" w:rsidRPr="00000000" w14:paraId="0000000C">
      <w:pPr>
        <w:spacing w:after="2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ab/>
        <w:tab/>
      </w:r>
      <w:r w:rsidDel="00000000" w:rsidR="00000000" w:rsidRPr="00000000">
        <w:rPr>
          <w:rtl w:val="0"/>
        </w:rPr>
      </w:r>
    </w:p>
    <w:p w:rsidR="00000000" w:rsidDel="00000000" w:rsidP="00000000" w:rsidRDefault="00000000" w:rsidRPr="00000000" w14:paraId="0000000D">
      <w:pPr>
        <w:spacing w:after="20" w:befor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20" w:before="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CONDITIONS OF PRETRIAL RELEASE ORDER</w:t>
      </w:r>
    </w:p>
    <w:p w:rsidR="00000000" w:rsidDel="00000000" w:rsidP="00000000" w:rsidRDefault="00000000" w:rsidRPr="00000000" w14:paraId="0000000F">
      <w:pPr>
        <w:spacing w:after="20" w:before="20" w:lineRule="auto"/>
        <w:ind w:left="-90" w:right="-9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20" w:before="20" w:lineRule="auto"/>
        <w:ind w:left="-9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COURT FINDS </w:t>
      </w:r>
      <w:r w:rsidDel="00000000" w:rsidR="00000000" w:rsidRPr="00000000">
        <w:rPr>
          <w:rFonts w:ascii="Times New Roman" w:cs="Times New Roman" w:eastAsia="Times New Roman" w:hAnsi="Times New Roman"/>
          <w:rtl w:val="0"/>
        </w:rPr>
        <w:t xml:space="preserve">that:</w:t>
      </w:r>
    </w:p>
    <w:p w:rsidR="00000000" w:rsidDel="00000000" w:rsidP="00000000" w:rsidRDefault="00000000" w:rsidRPr="00000000" w14:paraId="00000011">
      <w:pPr>
        <w:spacing w:after="20" w:before="20" w:lineRule="auto"/>
        <w:ind w:left="-90" w:right="27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one of the following)</w:t>
      </w:r>
    </w:p>
    <w:p w:rsidR="00000000" w:rsidDel="00000000" w:rsidP="00000000" w:rsidRDefault="00000000" w:rsidRPr="00000000" w14:paraId="00000012">
      <w:pPr>
        <w:spacing w:after="20" w:before="20" w:lineRule="auto"/>
        <w:ind w:left="-90" w:right="27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59" w:lineRule="auto"/>
        <w:ind w:left="540" w:right="27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defendant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charged with a detention-eligible offense/circumstance under 725 ILCS   5/110-6.1(a)(1)</w:t>
      </w:r>
      <w:r w:rsidDel="00000000" w:rsidR="00000000" w:rsidRPr="00000000">
        <w:rPr>
          <w:rFonts w:ascii="Times New Roman" w:cs="Times New Roman" w:eastAsia="Times New Roman" w:hAnsi="Times New Roman"/>
          <w:rtl w:val="0"/>
        </w:rPr>
        <w:t xml:space="preserve"> through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40" w:right="27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defendant is charged with a detention-eligible offense/circumstance, but the State has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filed a petition to detain.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40" w:right="27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defendant is charged with a detention-eligible offense/circumstance, but following the detention hearing, the Court denied the State’s Petition to Detain.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59" w:lineRule="auto"/>
        <w:ind w:left="540" w:right="27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a revocation or sanctions hearing, the Court ordered a modification of the defendant’s release conditions.</w:t>
      </w:r>
    </w:p>
    <w:p w:rsidR="00000000" w:rsidDel="00000000" w:rsidP="00000000" w:rsidRDefault="00000000" w:rsidRPr="00000000" w14:paraId="00000017">
      <w:pPr>
        <w:spacing w:after="20" w:before="20" w:lineRule="auto"/>
        <w:ind w:left="-9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after="20" w:before="20" w:lineRule="auto"/>
        <w:ind w:left="-9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 IS HEREBY ORDERED </w:t>
      </w:r>
      <w:r w:rsidDel="00000000" w:rsidR="00000000" w:rsidRPr="00000000">
        <w:rPr>
          <w:rFonts w:ascii="Times New Roman" w:cs="Times New Roman" w:eastAsia="Times New Roman" w:hAnsi="Times New Roman"/>
          <w:rtl w:val="0"/>
        </w:rPr>
        <w:t xml:space="preserve">that:</w:t>
      </w:r>
    </w:p>
    <w:p w:rsidR="00000000" w:rsidDel="00000000" w:rsidP="00000000" w:rsidRDefault="00000000" w:rsidRPr="00000000" w14:paraId="00000019">
      <w:pPr>
        <w:spacing w:after="20" w:before="20" w:lineRule="auto"/>
        <w:ind w:left="-9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after="20" w:before="20" w:lineRule="auto"/>
        <w:ind w:right="27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defendant shall be released with the following statutorily mandated conditions under 725 ILCS 5/110-10(a):</w:t>
      </w:r>
    </w:p>
    <w:p w:rsidR="00000000" w:rsidDel="00000000" w:rsidP="00000000" w:rsidRDefault="00000000" w:rsidRPr="00000000" w14:paraId="0000001B">
      <w:pPr>
        <w:spacing w:after="20" w:before="20" w:lineRule="auto"/>
        <w:ind w:left="72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630" w:right="2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Appear in court to answer the charge as ordered by the Court, until discharged or final order of the Court.</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630" w:right="2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to the orders and process of the Court.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630" w:right="2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violate any criminal statute of any jurisdiction.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20" w:line="240" w:lineRule="auto"/>
        <w:ind w:left="630" w:right="2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written notice with the clerk of the court within 24 hours after a change of address.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630" w:right="27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720" w:right="270" w:hanging="450"/>
        <w:jc w:val="left"/>
        <w:rPr>
          <w:rFonts w:ascii="Times New Roman" w:cs="Times New Roman" w:eastAsia="Times New Roman" w:hAnsi="Times New Roman"/>
        </w:rPr>
      </w:pPr>
      <w:sdt>
        <w:sdtPr>
          <w:tag w:val="goog_rdk_4"/>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Times New Roman" w:cs="Times New Roman" w:eastAsia="Times New Roman" w:hAnsi="Times New Roman"/>
          <w:rtl w:val="0"/>
        </w:rPr>
        <w:t xml:space="preserve">The defendant shall also be subject to other relevant mandatory conditions as set forth in 725 ILCS 5/110-10(a), (c), or (d). See the Supplemental Conditions Order entered on today’s date. </w:t>
      </w:r>
    </w:p>
    <w:p w:rsidR="00000000" w:rsidDel="00000000" w:rsidP="00000000" w:rsidRDefault="00000000" w:rsidRPr="00000000" w14:paraId="00000022">
      <w:pPr>
        <w:spacing w:after="20" w:before="20" w:lineRule="auto"/>
        <w:ind w:right="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20" w:before="20" w:lineRule="auto"/>
        <w:ind w:left="-90" w:right="270" w:firstLine="0"/>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20" w:before="20" w:lineRule="auto"/>
        <w:ind w:left="-90" w:righ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Further, having reviewed all relevant factors and standards set forth in 725 ILCS 5 sections 110-2, 110-5, and 110-10(b), the Court finds that the following additional conditions are necessary to ensure the defendant’s appearance in court, ensure the defendant does not commit any criminal offense, ensure the defendant complies with all conditions of release, prevent the defendant’s unlawful interference with the orderly administration of justice, or ensure the defendant’s compliance with the rules and procedures of problem-solving courts. The Court further finds that the conditions are the least restrictive means and are individualized to the defendant. </w:t>
      </w:r>
    </w:p>
    <w:p w:rsidR="00000000" w:rsidDel="00000000" w:rsidP="00000000" w:rsidRDefault="00000000" w:rsidRPr="00000000" w14:paraId="00000025">
      <w:pPr>
        <w:spacing w:after="20" w:before="20" w:lineRule="auto"/>
        <w:ind w:left="-90" w:righ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spacing w:after="20" w:before="20" w:lineRule="auto"/>
        <w:ind w:left="-90" w:right="27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(Check only those that apply)</w:t>
      </w:r>
    </w:p>
    <w:p w:rsidR="00000000" w:rsidDel="00000000" w:rsidP="00000000" w:rsidRDefault="00000000" w:rsidRPr="00000000" w14:paraId="00000027">
      <w:pPr>
        <w:spacing w:after="20" w:before="20" w:lineRule="auto"/>
        <w:ind w:left="270" w:right="270" w:firstLine="0"/>
        <w:rPr>
          <w:rFonts w:ascii="Times New Roman" w:cs="Times New Roman" w:eastAsia="Times New Roman" w:hAnsi="Times New Roman"/>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Report to Pretrial Services and comply with their reporting requirements</w:t>
      </w:r>
    </w:p>
    <w:p w:rsidR="00000000" w:rsidDel="00000000" w:rsidP="00000000" w:rsidRDefault="00000000" w:rsidRPr="00000000" w14:paraId="00000028">
      <w:pPr>
        <w:spacing w:after="20" w:before="20" w:lineRule="auto"/>
        <w:ind w:left="270" w:right="270" w:firstLine="0"/>
        <w:rPr>
          <w:rFonts w:ascii="Times New Roman" w:cs="Times New Roman" w:eastAsia="Times New Roman" w:hAnsi="Times New Roman"/>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Not leave the State of Illinois without permission of the Court</w:t>
      </w:r>
    </w:p>
    <w:p w:rsidR="00000000" w:rsidDel="00000000" w:rsidP="00000000" w:rsidRDefault="00000000" w:rsidRPr="00000000" w14:paraId="00000029">
      <w:pPr>
        <w:spacing w:after="20" w:before="20" w:lineRule="auto"/>
        <w:ind w:left="270" w:right="270" w:firstLine="0"/>
        <w:rPr>
          <w:rFonts w:ascii="Times New Roman" w:cs="Times New Roman" w:eastAsia="Times New Roman" w:hAnsi="Times New Roman"/>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Refrain from possessing a firearm or other dangerous weapon</w:t>
      </w:r>
    </w:p>
    <w:p w:rsidR="00000000" w:rsidDel="00000000" w:rsidP="00000000" w:rsidRDefault="00000000" w:rsidRPr="00000000" w14:paraId="0000002A">
      <w:pPr>
        <w:spacing w:after="20" w:before="20" w:lineRule="auto"/>
        <w:ind w:left="270" w:right="270" w:firstLine="0"/>
        <w:rPr>
          <w:rFonts w:ascii="Times New Roman" w:cs="Times New Roman" w:eastAsia="Times New Roman" w:hAnsi="Times New Roman"/>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Undergo a </w:t>
      </w: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 drug/alcohol evaluation </w:t>
      </w: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 mental health evaluation (</w:t>
      </w:r>
      <w:r w:rsidDel="00000000" w:rsidR="00000000" w:rsidRPr="00000000">
        <w:rPr>
          <w:rFonts w:ascii="Times New Roman" w:cs="Times New Roman" w:eastAsia="Times New Roman" w:hAnsi="Times New Roman"/>
          <w:i w:val="1"/>
          <w:rtl w:val="0"/>
        </w:rPr>
        <w:t xml:space="preserve">Note: Conditions cannot mandate rehabilitative services unless directly tied to the risk of pretrial misconduct. </w:t>
      </w:r>
      <w:r w:rsidDel="00000000" w:rsidR="00000000" w:rsidRPr="00000000">
        <w:rPr>
          <w:rFonts w:ascii="Times New Roman" w:cs="Times New Roman" w:eastAsia="Times New Roman" w:hAnsi="Times New Roman"/>
          <w:b w:val="1"/>
          <w:i w:val="1"/>
          <w:rtl w:val="0"/>
        </w:rPr>
        <w:t xml:space="preserve">725 ILCS 5/110-5(b)</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B">
      <w:pPr>
        <w:spacing w:after="20" w:before="20" w:lineRule="auto"/>
        <w:ind w:left="270" w:right="27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2C">
      <w:pPr>
        <w:spacing w:after="20" w:before="20" w:lineRule="auto"/>
        <w:ind w:left="270" w:right="270" w:firstLine="0"/>
        <w:rPr>
          <w:rFonts w:ascii="Times New Roman" w:cs="Times New Roman" w:eastAsia="Times New Roman" w:hAnsi="Times New Roman"/>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Have no contact directly or indirectly with the following individuals and/or places until further order of court:</w:t>
      </w:r>
    </w:p>
    <w:p w:rsidR="00000000" w:rsidDel="00000000" w:rsidP="00000000" w:rsidRDefault="00000000" w:rsidRPr="00000000" w14:paraId="0000002D">
      <w:pPr>
        <w:spacing w:after="20" w:before="20" w:lineRule="auto"/>
        <w:ind w:left="270" w:right="270" w:firstLine="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_________________________________________________________________________________</w:t>
      </w:r>
    </w:p>
    <w:p w:rsidR="00000000" w:rsidDel="00000000" w:rsidP="00000000" w:rsidRDefault="00000000" w:rsidRPr="00000000" w14:paraId="0000002E">
      <w:pPr>
        <w:spacing w:after="20" w:before="2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w:t>
      </w:r>
    </w:p>
    <w:p w:rsidR="00000000" w:rsidDel="00000000" w:rsidP="00000000" w:rsidRDefault="00000000" w:rsidRPr="00000000" w14:paraId="0000002F">
      <w:pPr>
        <w:spacing w:after="20" w:before="20" w:lineRule="auto"/>
        <w:ind w:left="270" w:righ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Bdr>
          <w:bottom w:color="000000" w:space="30" w:sz="12" w:val="single"/>
        </w:pBdr>
        <w:spacing w:after="20" w:before="20" w:lineRule="auto"/>
        <w:ind w:left="270" w:right="270" w:firstLine="0"/>
        <w:rPr>
          <w:rFonts w:ascii="Times New Roman" w:cs="Times New Roman" w:eastAsia="Times New Roman" w:hAnsi="Times New Roman"/>
        </w:rPr>
      </w:pPr>
      <w:r w:rsidDel="00000000" w:rsidR="00000000" w:rsidRPr="00000000">
        <w:rPr>
          <w:rFonts w:ascii="MS Gothic" w:cs="MS Gothic" w:eastAsia="MS Gothic" w:hAnsi="MS Gothic"/>
          <w:rtl w:val="0"/>
        </w:rPr>
        <w:t xml:space="preserve">☐ </w:t>
      </w:r>
      <w:r w:rsidDel="00000000" w:rsidR="00000000" w:rsidRPr="00000000">
        <w:rPr>
          <w:rFonts w:ascii="Times New Roman" w:cs="Times New Roman" w:eastAsia="Times New Roman" w:hAnsi="Times New Roman"/>
          <w:rtl w:val="0"/>
        </w:rPr>
        <w:t xml:space="preserve">Electronic Monitoring. </w:t>
      </w:r>
    </w:p>
    <w:p w:rsidR="00000000" w:rsidDel="00000000" w:rsidP="00000000" w:rsidRDefault="00000000" w:rsidRPr="00000000" w14:paraId="00000031">
      <w:pPr>
        <w:pBdr>
          <w:bottom w:color="000000" w:space="30" w:sz="12" w:val="single"/>
        </w:pBdr>
        <w:spacing w:after="20" w:before="2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Court orders the following form of electronic monitoring: _______________________</w:t>
      </w:r>
    </w:p>
    <w:p w:rsidR="00000000" w:rsidDel="00000000" w:rsidP="00000000" w:rsidRDefault="00000000" w:rsidRPr="00000000" w14:paraId="00000032">
      <w:pPr>
        <w:pBdr>
          <w:bottom w:color="000000" w:space="30" w:sz="12" w:val="single"/>
        </w:pBdr>
        <w:spacing w:after="20" w:before="2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Pursuant to 725/ILCS 5/110-5(g) and (h), the Court finds that no less restrictive condition of release or combination of less restrictive conditions of release would reasonably ensure the appearance of the defendant for later hearings or protect an identifiable person or persons from imminent threat of serious physical harm. The Court’s basis for this finding is:</w:t>
      </w:r>
    </w:p>
    <w:p w:rsidR="00000000" w:rsidDel="00000000" w:rsidP="00000000" w:rsidRDefault="00000000" w:rsidRPr="00000000" w14:paraId="00000033">
      <w:pPr>
        <w:pBdr>
          <w:bottom w:color="000000" w:space="30" w:sz="12" w:val="single"/>
        </w:pBdr>
        <w:spacing w:after="20" w:before="2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w:t>
      </w:r>
    </w:p>
    <w:p w:rsidR="00000000" w:rsidDel="00000000" w:rsidP="00000000" w:rsidRDefault="00000000" w:rsidRPr="00000000" w14:paraId="00000034">
      <w:pPr>
        <w:pBdr>
          <w:bottom w:color="000000" w:space="30" w:sz="12" w:val="single"/>
        </w:pBdr>
        <w:spacing w:after="20" w:before="20" w:lineRule="auto"/>
        <w:ind w:left="270" w:righ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w:t>
      </w:r>
    </w:p>
    <w:p w:rsidR="00000000" w:rsidDel="00000000" w:rsidP="00000000" w:rsidRDefault="00000000" w:rsidRPr="00000000" w14:paraId="00000035">
      <w:pPr>
        <w:pBdr>
          <w:bottom w:color="000000" w:space="30" w:sz="12" w:val="single"/>
        </w:pBdr>
        <w:spacing w:after="20" w:before="20" w:lineRule="auto"/>
        <w:ind w:left="270" w:righ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Bdr>
          <w:bottom w:color="000000" w:space="30" w:sz="12" w:val="single"/>
        </w:pBdr>
        <w:spacing w:after="20" w:before="20" w:lineRule="auto"/>
        <w:ind w:left="270" w:right="270" w:firstLine="0"/>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 Other reasonable conditions that are in accordance with national best practices: </w:t>
      </w:r>
      <w:r w:rsidDel="00000000" w:rsidR="00000000" w:rsidRPr="00000000">
        <w:rPr>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37">
      <w:pPr>
        <w:ind w:left="270" w:firstLine="0"/>
        <w:rPr/>
      </w:pPr>
      <w:r w:rsidDel="00000000" w:rsidR="00000000" w:rsidRPr="00000000">
        <w:rPr>
          <w:rtl w:val="0"/>
        </w:rPr>
      </w:r>
    </w:p>
    <w:p w:rsidR="00000000" w:rsidDel="00000000" w:rsidP="00000000" w:rsidRDefault="00000000" w:rsidRPr="00000000" w14:paraId="00000038">
      <w:pPr>
        <w:ind w:left="270" w:firstLine="0"/>
        <w:rPr/>
      </w:pPr>
      <w:r w:rsidDel="00000000" w:rsidR="00000000" w:rsidRPr="00000000">
        <w:rPr>
          <w:rtl w:val="0"/>
        </w:rPr>
      </w:r>
    </w:p>
    <w:p w:rsidR="00000000" w:rsidDel="00000000" w:rsidP="00000000" w:rsidRDefault="00000000" w:rsidRPr="00000000" w14:paraId="00000039">
      <w:pPr>
        <w:ind w:left="270" w:firstLine="0"/>
        <w:rPr/>
      </w:pPr>
      <w:r w:rsidDel="00000000" w:rsidR="00000000" w:rsidRPr="00000000">
        <w:rPr>
          <w:rtl w:val="0"/>
        </w:rPr>
      </w:r>
    </w:p>
    <w:p w:rsidR="00000000" w:rsidDel="00000000" w:rsidP="00000000" w:rsidRDefault="00000000" w:rsidRPr="00000000" w14:paraId="0000003A">
      <w:pPr>
        <w:ind w:left="270" w:firstLine="0"/>
        <w:rPr/>
      </w:pPr>
      <w:r w:rsidDel="00000000" w:rsidR="00000000" w:rsidRPr="00000000">
        <w:rPr>
          <w:rtl w:val="0"/>
        </w:rPr>
      </w:r>
    </w:p>
    <w:p w:rsidR="00000000" w:rsidDel="00000000" w:rsidP="00000000" w:rsidRDefault="00000000" w:rsidRPr="00000000" w14:paraId="0000003B">
      <w:pPr>
        <w:ind w:left="270" w:firstLine="0"/>
        <w:rPr/>
      </w:pPr>
      <w:r w:rsidDel="00000000" w:rsidR="00000000" w:rsidRPr="00000000">
        <w:rPr>
          <w:rtl w:val="0"/>
        </w:rPr>
      </w:r>
    </w:p>
    <w:p w:rsidR="00000000" w:rsidDel="00000000" w:rsidP="00000000" w:rsidRDefault="00000000" w:rsidRPr="00000000" w14:paraId="0000003C">
      <w:pPr>
        <w:ind w:left="270" w:firstLine="0"/>
        <w:rPr/>
      </w:pPr>
      <w:r w:rsidDel="00000000" w:rsidR="00000000" w:rsidRPr="00000000">
        <w:rPr>
          <w:rtl w:val="0"/>
        </w:rPr>
      </w:r>
    </w:p>
    <w:p w:rsidR="00000000" w:rsidDel="00000000" w:rsidP="00000000" w:rsidRDefault="00000000" w:rsidRPr="00000000" w14:paraId="0000003D">
      <w:pPr>
        <w:ind w:left="270" w:firstLine="0"/>
        <w:rPr/>
      </w:pPr>
      <w:r w:rsidDel="00000000" w:rsidR="00000000" w:rsidRPr="00000000">
        <w:rPr>
          <w:rtl w:val="0"/>
        </w:rPr>
      </w:r>
    </w:p>
    <w:p w:rsidR="00000000" w:rsidDel="00000000" w:rsidP="00000000" w:rsidRDefault="00000000" w:rsidRPr="00000000" w14:paraId="0000003E">
      <w:pPr>
        <w:ind w:left="270" w:firstLine="0"/>
        <w:rPr/>
      </w:pPr>
      <w:r w:rsidDel="00000000" w:rsidR="00000000" w:rsidRPr="00000000">
        <w:rPr>
          <w:rtl w:val="0"/>
        </w:rPr>
      </w:r>
    </w:p>
    <w:p w:rsidR="00000000" w:rsidDel="00000000" w:rsidP="00000000" w:rsidRDefault="00000000" w:rsidRPr="00000000" w14:paraId="0000003F">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 IS HEREBY ORDERED AS FOLLOWS: </w:t>
      </w:r>
      <w:r w:rsidDel="00000000" w:rsidR="00000000" w:rsidRPr="00000000">
        <w:rPr>
          <w:rtl w:val="0"/>
        </w:rPr>
      </w:r>
    </w:p>
    <w:p w:rsidR="00000000" w:rsidDel="00000000" w:rsidP="00000000" w:rsidRDefault="00000000" w:rsidRPr="00000000" w14:paraId="00000040">
      <w:pPr>
        <w:numPr>
          <w:ilvl w:val="0"/>
          <w:numId w:val="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Court shall, as required under 725 ILCS 5/110-5(f-5), review the defendant’s conditions of release at each subsequent appearance by the defendant and address whether the defendant’s conditions imposed are necessary to reasonably ensure the appearance of the defendant as required, the safety of any other person, and the compliance of the defendant with all the conditions of pretrial release.</w:t>
      </w:r>
    </w:p>
    <w:p w:rsidR="00000000" w:rsidDel="00000000" w:rsidP="00000000" w:rsidRDefault="00000000" w:rsidRPr="00000000" w14:paraId="00000041">
      <w:pPr>
        <w:numPr>
          <w:ilvl w:val="0"/>
          <w:numId w:val="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defendant will receive a copy of these conditions of pretrial release.</w:t>
      </w:r>
    </w:p>
    <w:p w:rsidR="00000000" w:rsidDel="00000000" w:rsidP="00000000" w:rsidRDefault="00000000" w:rsidRPr="00000000" w14:paraId="00000042">
      <w:pPr>
        <w:numPr>
          <w:ilvl w:val="0"/>
          <w:numId w:val="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defendant has provided their updated contact information in order</w:t>
      </w:r>
      <w:r w:rsidDel="00000000" w:rsidR="00000000" w:rsidRPr="00000000">
        <w:rPr>
          <w:rFonts w:ascii="Times New Roman" w:cs="Times New Roman" w:eastAsia="Times New Roman" w:hAnsi="Times New Roman"/>
          <w:highlight w:val="white"/>
          <w:rtl w:val="0"/>
        </w:rPr>
        <w:t xml:space="preserve"> to receive notification of future court dates, including the date, time, and location of the court.</w:t>
      </w:r>
      <w:r w:rsidDel="00000000" w:rsidR="00000000" w:rsidRPr="00000000">
        <w:rPr>
          <w:rtl w:val="0"/>
        </w:rPr>
      </w:r>
    </w:p>
    <w:p w:rsidR="00000000" w:rsidDel="00000000" w:rsidP="00000000" w:rsidRDefault="00000000" w:rsidRPr="00000000" w14:paraId="00000043">
      <w:pPr>
        <w:numPr>
          <w:ilvl w:val="0"/>
          <w:numId w:val="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defendant has been read their appeal rights.</w:t>
      </w:r>
    </w:p>
    <w:p w:rsidR="00000000" w:rsidDel="00000000" w:rsidP="00000000" w:rsidRDefault="00000000" w:rsidRPr="00000000" w14:paraId="00000044">
      <w:pPr>
        <w:numPr>
          <w:ilvl w:val="0"/>
          <w:numId w:val="2"/>
        </w:numPr>
        <w:spacing w:after="16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5">
      <w:pPr>
        <w:ind w:left="270" w:firstLine="0"/>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after="20" w:before="20" w:lineRule="auto"/>
        <w:ind w:left="0" w:right="27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spacing w:after="20" w:before="20" w:lineRule="auto"/>
        <w:ind w:left="2880" w:right="270" w:hanging="288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after="20" w:before="20" w:lineRule="auto"/>
        <w:ind w:left="2880" w:right="270" w:hanging="288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Next Court Appearance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case shall be continued to _________________________, 20____, at ___________ AM/PM in Courtroom, ___________ Courthouse Name, Address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Entered:  </w:t>
      </w:r>
      <w:r w:rsidDel="00000000" w:rsidR="00000000" w:rsidRPr="00000000">
        <w:rPr>
          <w:rFonts w:ascii="Times New Roman" w:cs="Times New Roman" w:eastAsia="Times New Roman" w:hAnsi="Times New Roman"/>
          <w:rtl w:val="0"/>
        </w:rPr>
        <w:t xml:space="preserve">Date: ___________    Signature: _______________________________   </w:t>
        <w:tab/>
        <w:tab/>
        <w:tab/>
        <w:tab/>
        <w:tab/>
        <w:tab/>
        <w:tab/>
        <w:t xml:space="preserve">                      </w:t>
        <w:tab/>
        <w:tab/>
        <w:t xml:space="preserve">Judge, (enter jurisdiction here) </w:t>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after="20" w:before="20" w:lineRule="auto"/>
        <w:ind w:left="2880" w:right="270" w:hanging="28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after="20" w:before="20" w:lineRule="auto"/>
        <w:ind w:right="27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spacing w:after="20" w:before="20" w:lineRule="auto"/>
        <w:ind w:right="27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acknowledge these conditions of release and affirm that I will comply with each condition. I understand that failure to comply with the conditions of release could result in sanctions and/or revocation of my pretrial release.  I further understand that I am required to notify the clerk of the court of any change of address within 24 hours.  </w:t>
      </w:r>
    </w:p>
    <w:p w:rsidR="00000000" w:rsidDel="00000000" w:rsidP="00000000" w:rsidRDefault="00000000" w:rsidRPr="00000000" w14:paraId="00000054">
      <w:pPr>
        <w:spacing w:after="20" w:before="20" w:lineRule="auto"/>
        <w:ind w:left="2880" w:right="270" w:hanging="28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after="20" w:before="20" w:lineRule="auto"/>
        <w:ind w:left="2880" w:right="270" w:hanging="288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w:t>
      </w:r>
    </w:p>
    <w:p w:rsidR="00000000" w:rsidDel="00000000" w:rsidP="00000000" w:rsidRDefault="00000000" w:rsidRPr="00000000" w14:paraId="00000056">
      <w:pPr>
        <w:spacing w:after="20" w:before="20" w:lineRule="auto"/>
        <w:ind w:left="2880" w:right="270" w:hanging="288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Defendant</w:t>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t xml:space="preserve">Conditions of Pretrial Release Order, December 2022</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PowerPlusWaterMarkObject1" style="position:absolute;width:557.9659842519685pt;height:205.70929133858266pt;rotation:315;z-index:-503316481;mso-position-horizontal-relative:margin;mso-position-horizontal:center;mso-position-vertical-relative:margin;mso-position-vertical:center;" fillcolor="#c0c0c0" stroked="f" type="#_x0000_t136">
          <v:fill angle="0" opacity="65536f"/>
          <v:textpath fitshape="t" string="SAMPLE" style="font-family:&amp;quot;Calibri&amp;quot;;font-size:1pt;"/>
        </v:shape>
      </w:pic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is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not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 official resource of the Illinois Supreme Court.</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is a product of the Illinois Supreme Court Implementation Task Force.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Counties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must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review and tailor these forms to their local circumstances. Counties are free to revise these forms as they choose (adding, deleting, etc.).</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30" w:hanging="360"/>
      </w:pPr>
      <w:rPr/>
    </w:lvl>
    <w:lvl w:ilvl="1">
      <w:start w:val="1"/>
      <w:numFmt w:val="bullet"/>
      <w:lvlText w:val="●"/>
      <w:lvlJc w:val="left"/>
      <w:pPr>
        <w:ind w:left="1080" w:hanging="360"/>
      </w:pPr>
      <w:rPr/>
    </w:lvl>
    <w:lvl w:ilvl="2">
      <w:start w:val="1"/>
      <w:numFmt w:val="bullet"/>
      <w:lvlText w:val="●"/>
      <w:lvlJc w:val="left"/>
      <w:pPr>
        <w:ind w:left="1800" w:hanging="180"/>
      </w:pPr>
      <w:rPr/>
    </w:lvl>
    <w:lvl w:ilvl="3">
      <w:start w:val="1"/>
      <w:numFmt w:val="bullet"/>
      <w:lvlText w:val="●"/>
      <w:lvlJc w:val="left"/>
      <w:pPr>
        <w:ind w:left="2520" w:hanging="360"/>
      </w:pPr>
      <w:rPr/>
    </w:lvl>
    <w:lvl w:ilvl="4">
      <w:start w:val="1"/>
      <w:numFmt w:val="bullet"/>
      <w:lvlText w:val="●"/>
      <w:lvlJc w:val="left"/>
      <w:pPr>
        <w:ind w:left="3240" w:hanging="360"/>
      </w:pPr>
      <w:rPr/>
    </w:lvl>
    <w:lvl w:ilvl="5">
      <w:start w:val="1"/>
      <w:numFmt w:val="bullet"/>
      <w:lvlText w:val="●"/>
      <w:lvlJc w:val="left"/>
      <w:pPr>
        <w:ind w:left="3960" w:hanging="180"/>
      </w:pPr>
      <w:rPr/>
    </w:lvl>
    <w:lvl w:ilvl="6">
      <w:start w:val="1"/>
      <w:numFmt w:val="bullet"/>
      <w:lvlText w:val="●"/>
      <w:lvlJc w:val="left"/>
      <w:pPr>
        <w:ind w:left="4680" w:hanging="360"/>
      </w:pPr>
      <w:rPr/>
    </w:lvl>
    <w:lvl w:ilvl="7">
      <w:start w:val="1"/>
      <w:numFmt w:val="bullet"/>
      <w:lvlText w:val="●"/>
      <w:lvlJc w:val="left"/>
      <w:pPr>
        <w:ind w:left="5400" w:hanging="360"/>
      </w:pPr>
      <w:rPr/>
    </w:lvl>
    <w:lvl w:ilvl="8">
      <w:start w:val="1"/>
      <w:numFmt w:val="bullet"/>
      <w:lvlText w:val="●"/>
      <w:lvlJc w:val="left"/>
      <w:pPr>
        <w:ind w:left="612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7C0F"/>
    <w:rPr>
      <w:rFonts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A7C0F"/>
    <w:rPr>
      <w:rFonts w:ascii="Tahoma" w:cs="Tahoma" w:hAnsi="Tahoma"/>
      <w:sz w:val="16"/>
      <w:szCs w:val="16"/>
    </w:rPr>
  </w:style>
  <w:style w:type="character" w:styleId="BalloonTextChar" w:customStyle="1">
    <w:name w:val="Balloon Text Char"/>
    <w:link w:val="BalloonText"/>
    <w:uiPriority w:val="99"/>
    <w:semiHidden w:val="1"/>
    <w:rsid w:val="009A7C0F"/>
    <w:rPr>
      <w:rFonts w:ascii="Tahoma" w:cs="Tahoma" w:eastAsia="Times New Roman" w:hAnsi="Tahoma"/>
      <w:sz w:val="16"/>
      <w:szCs w:val="16"/>
    </w:rPr>
  </w:style>
  <w:style w:type="paragraph" w:styleId="ListParagraph">
    <w:name w:val="List Paragraph"/>
    <w:basedOn w:val="Normal"/>
    <w:uiPriority w:val="34"/>
    <w:qFormat w:val="1"/>
    <w:rsid w:val="006C692E"/>
    <w:pPr>
      <w:spacing w:after="160" w:line="259" w:lineRule="auto"/>
      <w:ind w:left="720"/>
      <w:contextualSpacing w:val="1"/>
    </w:pPr>
    <w:rPr>
      <w:rFonts w:eastAsia="Calibri"/>
      <w:sz w:val="22"/>
      <w:szCs w:val="22"/>
    </w:rPr>
  </w:style>
  <w:style w:type="paragraph" w:styleId="Header">
    <w:name w:val="header"/>
    <w:basedOn w:val="Normal"/>
    <w:link w:val="HeaderChar"/>
    <w:uiPriority w:val="99"/>
    <w:unhideWhenUsed w:val="1"/>
    <w:rsid w:val="002E3E1F"/>
    <w:pPr>
      <w:tabs>
        <w:tab w:val="center" w:pos="4680"/>
        <w:tab w:val="right" w:pos="9360"/>
      </w:tabs>
    </w:pPr>
  </w:style>
  <w:style w:type="character" w:styleId="HeaderChar" w:customStyle="1">
    <w:name w:val="Header Char"/>
    <w:link w:val="Header"/>
    <w:uiPriority w:val="99"/>
    <w:rsid w:val="002E3E1F"/>
    <w:rPr>
      <w:rFonts w:eastAsia="Times New Roman"/>
      <w:sz w:val="24"/>
      <w:szCs w:val="24"/>
    </w:rPr>
  </w:style>
  <w:style w:type="paragraph" w:styleId="Footer">
    <w:name w:val="footer"/>
    <w:basedOn w:val="Normal"/>
    <w:link w:val="FooterChar"/>
    <w:uiPriority w:val="99"/>
    <w:unhideWhenUsed w:val="1"/>
    <w:rsid w:val="002E3E1F"/>
    <w:pPr>
      <w:tabs>
        <w:tab w:val="center" w:pos="4680"/>
        <w:tab w:val="right" w:pos="9360"/>
      </w:tabs>
    </w:pPr>
  </w:style>
  <w:style w:type="character" w:styleId="FooterChar" w:customStyle="1">
    <w:name w:val="Footer Char"/>
    <w:link w:val="Footer"/>
    <w:uiPriority w:val="99"/>
    <w:rsid w:val="002E3E1F"/>
    <w:rPr>
      <w:rFonts w:eastAsia="Times New Roman"/>
      <w:sz w:val="24"/>
      <w:szCs w:val="24"/>
    </w:rPr>
  </w:style>
  <w:style w:type="character" w:styleId="CommentReference">
    <w:name w:val="annotation reference"/>
    <w:basedOn w:val="DefaultParagraphFont"/>
    <w:uiPriority w:val="99"/>
    <w:semiHidden w:val="1"/>
    <w:unhideWhenUsed w:val="1"/>
    <w:rsid w:val="00354536"/>
    <w:rPr>
      <w:sz w:val="16"/>
      <w:szCs w:val="16"/>
    </w:rPr>
  </w:style>
  <w:style w:type="paragraph" w:styleId="CommentText">
    <w:name w:val="annotation text"/>
    <w:basedOn w:val="Normal"/>
    <w:link w:val="CommentTextChar"/>
    <w:uiPriority w:val="99"/>
    <w:unhideWhenUsed w:val="1"/>
    <w:rsid w:val="00354536"/>
    <w:rPr>
      <w:sz w:val="20"/>
      <w:szCs w:val="20"/>
    </w:rPr>
  </w:style>
  <w:style w:type="character" w:styleId="CommentTextChar" w:customStyle="1">
    <w:name w:val="Comment Text Char"/>
    <w:basedOn w:val="DefaultParagraphFont"/>
    <w:link w:val="CommentText"/>
    <w:uiPriority w:val="99"/>
    <w:rsid w:val="00354536"/>
    <w:rPr>
      <w:rFonts w:eastAsia="Times New Roman"/>
    </w:rPr>
  </w:style>
  <w:style w:type="paragraph" w:styleId="CommentSubject">
    <w:name w:val="annotation subject"/>
    <w:basedOn w:val="CommentText"/>
    <w:next w:val="CommentText"/>
    <w:link w:val="CommentSubjectChar"/>
    <w:uiPriority w:val="99"/>
    <w:semiHidden w:val="1"/>
    <w:unhideWhenUsed w:val="1"/>
    <w:rsid w:val="00354536"/>
    <w:rPr>
      <w:b w:val="1"/>
      <w:bCs w:val="1"/>
    </w:rPr>
  </w:style>
  <w:style w:type="character" w:styleId="CommentSubjectChar" w:customStyle="1">
    <w:name w:val="Comment Subject Char"/>
    <w:basedOn w:val="CommentTextChar"/>
    <w:link w:val="CommentSubject"/>
    <w:uiPriority w:val="99"/>
    <w:semiHidden w:val="1"/>
    <w:rsid w:val="00354536"/>
    <w:rPr>
      <w:rFonts w:eastAsia="Times New Roman"/>
      <w:b w:val="1"/>
      <w:bCs w:val="1"/>
    </w:rPr>
  </w:style>
  <w:style w:type="character" w:styleId="PlaceholderText">
    <w:name w:val="Placeholder Text"/>
    <w:basedOn w:val="DefaultParagraphFont"/>
    <w:uiPriority w:val="99"/>
    <w:semiHidden w:val="1"/>
    <w:rsid w:val="00480F91"/>
    <w:rPr>
      <w:color w:val="808080"/>
    </w:rPr>
  </w:style>
  <w:style w:type="paragraph" w:styleId="Revision">
    <w:name w:val="Revision"/>
    <w:hidden w:val="1"/>
    <w:uiPriority w:val="99"/>
    <w:semiHidden w:val="1"/>
    <w:rsid w:val="00DC1E8A"/>
    <w:rPr>
      <w:rFonts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zfMC3N9TrHiXSe5POzxpAzzX/w==">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2022-09-29T12:27:00Z</dcterms:created>
  <dc:creator>DOIT</dc:creator>
</cp:coreProperties>
</file>