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t xml:space="preserve">IN THE CIRCUIT COURT OF THE _______ JUDICIAL CIRCUIT</w:t>
      </w:r>
    </w:p>
    <w:p w:rsidR="00000000" w:rsidDel="00000000" w:rsidP="00000000" w:rsidRDefault="00000000" w:rsidRPr="00000000" w14:paraId="00000004">
      <w:pPr>
        <w:spacing w:line="240" w:lineRule="auto"/>
        <w:jc w:val="center"/>
        <w:rPr/>
      </w:pPr>
      <w:r w:rsidDel="00000000" w:rsidR="00000000" w:rsidRPr="00000000">
        <w:rPr>
          <w:rtl w:val="0"/>
        </w:rPr>
        <w:t xml:space="preserve">____________ COUNTY, ILLINOIS</w:t>
      </w:r>
    </w:p>
    <w:p w:rsidR="00000000" w:rsidDel="00000000" w:rsidP="00000000" w:rsidRDefault="00000000" w:rsidRPr="00000000" w14:paraId="00000005">
      <w:pPr>
        <w:tabs>
          <w:tab w:val="left" w:pos="5040"/>
        </w:tabs>
        <w:spacing w:line="240" w:lineRule="auto"/>
        <w:rPr/>
      </w:pPr>
      <w:r w:rsidDel="00000000" w:rsidR="00000000" w:rsidRPr="00000000">
        <w:rPr>
          <w:rtl w:val="0"/>
        </w:rPr>
      </w:r>
    </w:p>
    <w:p w:rsidR="00000000" w:rsidDel="00000000" w:rsidP="00000000" w:rsidRDefault="00000000" w:rsidRPr="00000000" w14:paraId="00000006">
      <w:pPr>
        <w:tabs>
          <w:tab w:val="left" w:pos="5040"/>
        </w:tabs>
        <w:spacing w:line="240" w:lineRule="auto"/>
        <w:rPr>
          <w:color w:val="000000"/>
        </w:rPr>
      </w:pPr>
      <w:r w:rsidDel="00000000" w:rsidR="00000000" w:rsidRPr="00000000">
        <w:rPr>
          <w:rtl w:val="0"/>
        </w:rPr>
      </w:r>
    </w:p>
    <w:p w:rsidR="00000000" w:rsidDel="00000000" w:rsidP="00000000" w:rsidRDefault="00000000" w:rsidRPr="00000000" w14:paraId="00000007">
      <w:pPr>
        <w:tabs>
          <w:tab w:val="left" w:pos="5040"/>
        </w:tabs>
        <w:spacing w:line="240" w:lineRule="auto"/>
        <w:rPr>
          <w:color w:val="000000"/>
        </w:rPr>
      </w:pPr>
      <w:r w:rsidDel="00000000" w:rsidR="00000000" w:rsidRPr="00000000">
        <w:rPr>
          <w:color w:val="000000"/>
          <w:rtl w:val="0"/>
        </w:rPr>
        <w:t xml:space="preserve">THE PEOPLE OF THE STATE OF ILLINOIS, </w:t>
        <w:tab/>
        <w:t xml:space="preserve">]</w:t>
      </w:r>
    </w:p>
    <w:p w:rsidR="00000000" w:rsidDel="00000000" w:rsidP="00000000" w:rsidRDefault="00000000" w:rsidRPr="00000000" w14:paraId="00000008">
      <w:pPr>
        <w:tabs>
          <w:tab w:val="left" w:pos="3600"/>
          <w:tab w:val="left" w:pos="5040"/>
        </w:tabs>
        <w:spacing w:line="240" w:lineRule="auto"/>
        <w:ind w:left="15" w:firstLine="705"/>
        <w:rPr>
          <w:color w:val="000000"/>
        </w:rPr>
      </w:pPr>
      <w:r w:rsidDel="00000000" w:rsidR="00000000" w:rsidRPr="00000000">
        <w:rPr>
          <w:color w:val="000000"/>
          <w:rtl w:val="0"/>
        </w:rPr>
        <w:tab/>
        <w:t xml:space="preserve">Plaintiff,</w:t>
        <w:tab/>
        <w:t xml:space="preserve">]</w:t>
      </w:r>
    </w:p>
    <w:p w:rsidR="00000000" w:rsidDel="00000000" w:rsidP="00000000" w:rsidRDefault="00000000" w:rsidRPr="00000000" w14:paraId="00000009">
      <w:pPr>
        <w:tabs>
          <w:tab w:val="left" w:pos="2325"/>
          <w:tab w:val="left" w:pos="4230"/>
        </w:tabs>
        <w:spacing w:after="0" w:line="240" w:lineRule="auto"/>
        <w:ind w:left="-5" w:firstLine="705"/>
        <w:rPr>
          <w:color w:val="000000"/>
        </w:rPr>
      </w:pPr>
      <w:r w:rsidDel="00000000" w:rsidR="00000000" w:rsidRPr="00000000">
        <w:rPr>
          <w:color w:val="000000"/>
          <w:rtl w:val="0"/>
        </w:rPr>
        <w:tab/>
        <w:t xml:space="preserve">vs</w:t>
        <w:tab/>
        <w:t xml:space="preserve">             </w:t>
        <w:tab/>
        <w:t xml:space="preserve">]</w:t>
        <w:tab/>
        <w:tab/>
        <w:t xml:space="preserve">No: ____________________</w:t>
      </w:r>
    </w:p>
    <w:p w:rsidR="00000000" w:rsidDel="00000000" w:rsidP="00000000" w:rsidRDefault="00000000" w:rsidRPr="00000000" w14:paraId="0000000A">
      <w:pPr>
        <w:tabs>
          <w:tab w:val="left" w:pos="4860"/>
        </w:tabs>
        <w:spacing w:after="0" w:line="240" w:lineRule="auto"/>
        <w:rPr>
          <w:color w:val="000000"/>
        </w:rPr>
      </w:pPr>
      <w:r w:rsidDel="00000000" w:rsidR="00000000" w:rsidRPr="00000000">
        <w:rPr>
          <w:color w:val="000000"/>
          <w:rtl w:val="0"/>
        </w:rPr>
        <w:t xml:space="preserve">______________________________________,</w:t>
        <w:tab/>
        <w:tab/>
        <w:t xml:space="preserve">]</w:t>
      </w:r>
    </w:p>
    <w:p w:rsidR="00000000" w:rsidDel="00000000" w:rsidP="00000000" w:rsidRDefault="00000000" w:rsidRPr="00000000" w14:paraId="0000000B">
      <w:pPr>
        <w:spacing w:after="0" w:line="240" w:lineRule="auto"/>
        <w:ind w:left="2880" w:firstLine="720"/>
        <w:rPr>
          <w:color w:val="000000"/>
        </w:rPr>
      </w:pPr>
      <w:r w:rsidDel="00000000" w:rsidR="00000000" w:rsidRPr="00000000">
        <w:rPr>
          <w:color w:val="000000"/>
          <w:rtl w:val="0"/>
        </w:rPr>
        <w:t xml:space="preserve">Defendant.</w:t>
        <w:tab/>
        <w:t xml:space="preserve">]</w:t>
      </w:r>
    </w:p>
    <w:p w:rsidR="00000000" w:rsidDel="00000000" w:rsidP="00000000" w:rsidRDefault="00000000" w:rsidRPr="00000000" w14:paraId="0000000C">
      <w:pPr>
        <w:spacing w:after="20" w:before="0" w:line="240" w:lineRule="auto"/>
        <w:rPr/>
      </w:pPr>
      <w:r w:rsidDel="00000000" w:rsidR="00000000" w:rsidRPr="00000000">
        <w:rPr>
          <w:b w:val="1"/>
          <w:rtl w:val="0"/>
        </w:rPr>
        <w:tab/>
        <w:tab/>
        <w:tab/>
      </w:r>
      <w:r w:rsidDel="00000000" w:rsidR="00000000" w:rsidRPr="00000000">
        <w:rPr>
          <w:rtl w:val="0"/>
        </w:rPr>
      </w:r>
    </w:p>
    <w:p w:rsidR="00000000" w:rsidDel="00000000" w:rsidP="00000000" w:rsidRDefault="00000000" w:rsidRPr="00000000" w14:paraId="0000000D">
      <w:pPr>
        <w:spacing w:after="20" w:before="20" w:line="240" w:lineRule="auto"/>
        <w:rPr/>
      </w:pPr>
      <w:r w:rsidDel="00000000" w:rsidR="00000000" w:rsidRPr="00000000">
        <w:rPr>
          <w:rtl w:val="0"/>
        </w:rPr>
      </w:r>
    </w:p>
    <w:p w:rsidR="00000000" w:rsidDel="00000000" w:rsidP="00000000" w:rsidRDefault="00000000" w:rsidRPr="00000000" w14:paraId="0000000E">
      <w:pPr>
        <w:spacing w:after="20" w:before="20" w:line="240" w:lineRule="auto"/>
        <w:jc w:val="center"/>
        <w:rPr>
          <w:b w:val="1"/>
        </w:rPr>
      </w:pPr>
      <w:r w:rsidDel="00000000" w:rsidR="00000000" w:rsidRPr="00000000">
        <w:rPr>
          <w:b w:val="1"/>
          <w:rtl w:val="0"/>
        </w:rPr>
        <w:t xml:space="preserve">ORDER AFTER REVOCATION HEARING</w:t>
      </w:r>
    </w:p>
    <w:p w:rsidR="00000000" w:rsidDel="00000000" w:rsidP="00000000" w:rsidRDefault="00000000" w:rsidRPr="00000000" w14:paraId="0000000F">
      <w:pPr>
        <w:spacing w:after="20" w:before="20" w:line="240" w:lineRule="auto"/>
        <w:ind w:left="-90" w:right="-90" w:firstLine="0"/>
        <w:jc w:val="center"/>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matter having come before the Court on a verified petition by the State for revocation of pretrial release, and the Court having held a hearing pursuant to 725 ILCS 5/110-6(</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within 72 hours of the filing of the State’s petition.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COURT FINDS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defendant, while on pretrial release for a felony or Class A misdemeanor, was charged with a new felony or Class A misdemeanor.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COURT FURTHER FINDS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tl w:val="0"/>
        </w:rPr>
        <w:t xml:space="preserv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rsuant to 725 I</w:t>
      </w:r>
      <w:r w:rsidDel="00000000" w:rsidR="00000000" w:rsidRPr="00000000">
        <w:rPr>
          <w:rtl w:val="0"/>
        </w:rPr>
        <w:t xml:space="preserve">LCS 5/110-6(a),</w:t>
      </w:r>
      <w:r w:rsidDel="00000000" w:rsidR="00000000" w:rsidRPr="00000000">
        <w:rPr>
          <w:b w:val="1"/>
          <w:rtl w:val="0"/>
        </w:rPr>
        <w:t xml:space="preserve">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clear and convincing evidence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condition or combination of conditions of release would reasonably assure the appearance of the defendant for subsequent hearings or prevent the defendant from subsequently being charged with a felony or Class A misdemeanor, based on the following: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There is insufficient evidence to justify </w:t>
      </w:r>
      <w:r w:rsidDel="00000000" w:rsidR="00000000" w:rsidRPr="00000000">
        <w:rPr>
          <w:b w:val="1"/>
          <w:rtl w:val="0"/>
        </w:rPr>
        <w:t xml:space="preserve">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revocation of pretrial release.</w:t>
      </w:r>
    </w:p>
    <w:p w:rsidR="00000000" w:rsidDel="00000000" w:rsidP="00000000" w:rsidRDefault="00000000" w:rsidRPr="00000000" w14:paraId="0000001D">
      <w:pPr>
        <w:spacing w:after="240" w:line="240" w:lineRule="auto"/>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 IS HEREBY ORDERED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b w:val="1"/>
          <w:rtl w:val="0"/>
        </w:rPr>
        <w:t xml:space="preserve">The defendant’s pretrial release is revoked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defendant is remanded to the custody of the local jail until further order of the court.</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numPr>
          <w:ilvl w:val="0"/>
          <w:numId w:val="1"/>
        </w:numPr>
        <w:spacing w:after="0" w:afterAutospacing="0" w:line="240" w:lineRule="auto"/>
        <w:ind w:left="720" w:hanging="360"/>
        <w:rPr>
          <w:u w:val="none"/>
        </w:rPr>
      </w:pPr>
      <w:r w:rsidDel="00000000" w:rsidR="00000000" w:rsidRPr="00000000">
        <w:rPr>
          <w:rtl w:val="0"/>
        </w:rPr>
        <w:t xml:space="preserve">The Court shall, as required under 725 ILCS 5/110-6 (j), review the defendant’s conditions of release at each subsequent appearance by the defendant and address whether continued detention is necessary to reasonably ensure the appearance of the defendant for later hearings or to prevent the defendant from being charged with a subsequent felony or Class A misdemeanor.</w:t>
      </w:r>
    </w:p>
    <w:p w:rsidR="00000000" w:rsidDel="00000000" w:rsidP="00000000" w:rsidRDefault="00000000" w:rsidRPr="00000000" w14:paraId="00000024">
      <w:pPr>
        <w:numPr>
          <w:ilvl w:val="0"/>
          <w:numId w:val="1"/>
        </w:numPr>
        <w:spacing w:after="120" w:line="240" w:lineRule="auto"/>
        <w:ind w:left="720" w:hanging="360"/>
        <w:rPr>
          <w:u w:val="none"/>
        </w:rPr>
      </w:pPr>
      <w:r w:rsidDel="00000000" w:rsidR="00000000" w:rsidRPr="00000000">
        <w:rPr>
          <w:rtl w:val="0"/>
        </w:rPr>
        <w:t xml:space="preserve">The defendant has been read their appeal rights.</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defendant</w:t>
      </w:r>
      <w:r w:rsidDel="00000000" w:rsidR="00000000" w:rsidRPr="00000000">
        <w:rPr>
          <w:b w:val="1"/>
          <w:rtl w:val="0"/>
        </w:rPr>
        <w:t xml:space="preserve">’s pretrial release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is not revoked: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defendant’s pretrial release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modified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provided in a separate Conditions of Pretrial Release Order </w:t>
      </w:r>
      <w:r w:rsidDel="00000000" w:rsidR="00000000" w:rsidRPr="00000000">
        <w:rPr>
          <w:rtl w:val="0"/>
        </w:rPr>
        <w:t xml:space="preserve">entered on today’s date.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defendant’s pretrial release shall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continue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previously ordered until further order of the Court.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pP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tl w:val="0"/>
        </w:rPr>
        <w:br w:type="textWrapping"/>
      </w:r>
      <w:r w:rsidDel="00000000" w:rsidR="00000000" w:rsidRPr="00000000">
        <w:rPr>
          <w:b w:val="1"/>
          <w:rtl w:val="0"/>
        </w:rPr>
        <w:t xml:space="preserve">Entered:  </w:t>
      </w:r>
      <w:r w:rsidDel="00000000" w:rsidR="00000000" w:rsidRPr="00000000">
        <w:rPr>
          <w:rtl w:val="0"/>
        </w:rPr>
        <w:t xml:space="preserve">Date: ___________    Signature: _______________________________   </w:t>
        <w:tab/>
        <w:tab/>
        <w:tab/>
        <w:tab/>
        <w:tab/>
        <w:tab/>
        <w:tab/>
        <w:t xml:space="preserve">                    </w:t>
        <w:tab/>
        <w:tab/>
        <w:t xml:space="preserve">  Judge, (enter jurisdiction here) </w:t>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Unicode MS"/>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Order After Revocation Hearing, December 2022 </w:t>
    </w:r>
  </w:p>
  <w:p w:rsidR="00000000" w:rsidDel="00000000" w:rsidP="00000000" w:rsidRDefault="00000000" w:rsidRPr="00000000" w14:paraId="00000034">
    <w:pPr>
      <w:jc w:val="right"/>
      <w:rPr>
        <w:rFonts w:ascii="Calibri" w:cs="Calibri" w:eastAsia="Calibri" w:hAnsi="Calibri"/>
        <w:sz w:val="22"/>
        <w:szCs w:val="22"/>
      </w:rPr>
    </w:pP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57.9659842519685pt;height:205.70929133858266pt;rotation:315;z-index:-503316481;mso-position-horizontal-relative:margin;mso-position-horizontal:center;mso-position-vertical-relative:margin;mso-position-vertical:center;" fillcolor="#c0c0c0" stroked="f" type="#_x0000_t136">
          <v:fill angle="0" opacity="65536f"/>
          <v:textpath fitshape="t" string="SAMPLE" style="font-family:&amp;quot;Calibri&amp;quot;;font-size:1pt;"/>
        </v:shape>
      </w:pic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is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not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 official resource of the Illinois Supreme Court.</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is a product of the Illinois Supreme Court Implementation Task Force.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Counties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must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review and tailor these forms to their local circumstances. Counties are free to revise these forms as they choose (adding, deleting, etc.).</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062AD"/>
    <w:rPr>
      <w:rFonts w:ascii="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A7C0F"/>
    <w:rPr>
      <w:rFonts w:ascii="Tahoma" w:cs="Tahoma" w:hAnsi="Tahoma"/>
      <w:sz w:val="16"/>
      <w:szCs w:val="16"/>
    </w:rPr>
  </w:style>
  <w:style w:type="character" w:styleId="BalloonTextChar" w:customStyle="1">
    <w:name w:val="Balloon Text Char"/>
    <w:link w:val="BalloonText"/>
    <w:uiPriority w:val="99"/>
    <w:semiHidden w:val="1"/>
    <w:rsid w:val="009A7C0F"/>
    <w:rPr>
      <w:rFonts w:ascii="Tahoma" w:cs="Tahoma" w:eastAsia="Times New Roman" w:hAnsi="Tahoma"/>
      <w:sz w:val="16"/>
      <w:szCs w:val="16"/>
    </w:rPr>
  </w:style>
  <w:style w:type="paragraph" w:styleId="ListParagraph">
    <w:name w:val="List Paragraph"/>
    <w:basedOn w:val="Normal"/>
    <w:uiPriority w:val="34"/>
    <w:qFormat w:val="1"/>
    <w:rsid w:val="006C692E"/>
    <w:pPr>
      <w:spacing w:after="160" w:line="259" w:lineRule="auto"/>
      <w:ind w:left="720"/>
      <w:contextualSpacing w:val="1"/>
    </w:pPr>
    <w:rPr>
      <w:rFonts w:eastAsia="Calibri"/>
      <w:sz w:val="22"/>
      <w:szCs w:val="22"/>
    </w:rPr>
  </w:style>
  <w:style w:type="paragraph" w:styleId="Header">
    <w:name w:val="header"/>
    <w:basedOn w:val="Normal"/>
    <w:link w:val="HeaderChar"/>
    <w:uiPriority w:val="99"/>
    <w:unhideWhenUsed w:val="1"/>
    <w:rsid w:val="002E3E1F"/>
    <w:pPr>
      <w:tabs>
        <w:tab w:val="center" w:pos="4680"/>
        <w:tab w:val="right" w:pos="9360"/>
      </w:tabs>
    </w:pPr>
  </w:style>
  <w:style w:type="character" w:styleId="HeaderChar" w:customStyle="1">
    <w:name w:val="Header Char"/>
    <w:link w:val="Header"/>
    <w:uiPriority w:val="99"/>
    <w:rsid w:val="002E3E1F"/>
    <w:rPr>
      <w:rFonts w:eastAsia="Times New Roman"/>
      <w:sz w:val="24"/>
      <w:szCs w:val="24"/>
    </w:rPr>
  </w:style>
  <w:style w:type="paragraph" w:styleId="Footer">
    <w:name w:val="footer"/>
    <w:basedOn w:val="Normal"/>
    <w:link w:val="FooterChar"/>
    <w:uiPriority w:val="99"/>
    <w:unhideWhenUsed w:val="1"/>
    <w:rsid w:val="002E3E1F"/>
    <w:pPr>
      <w:tabs>
        <w:tab w:val="center" w:pos="4680"/>
        <w:tab w:val="right" w:pos="9360"/>
      </w:tabs>
    </w:pPr>
  </w:style>
  <w:style w:type="character" w:styleId="FooterChar" w:customStyle="1">
    <w:name w:val="Footer Char"/>
    <w:link w:val="Footer"/>
    <w:uiPriority w:val="99"/>
    <w:rsid w:val="002E3E1F"/>
    <w:rPr>
      <w:rFonts w:eastAsia="Times New Roman"/>
      <w:sz w:val="24"/>
      <w:szCs w:val="24"/>
    </w:rPr>
  </w:style>
  <w:style w:type="character" w:styleId="CommentReference">
    <w:name w:val="annotation reference"/>
    <w:basedOn w:val="DefaultParagraphFont"/>
    <w:uiPriority w:val="99"/>
    <w:semiHidden w:val="1"/>
    <w:unhideWhenUsed w:val="1"/>
    <w:rsid w:val="00354536"/>
    <w:rPr>
      <w:sz w:val="16"/>
      <w:szCs w:val="16"/>
    </w:rPr>
  </w:style>
  <w:style w:type="paragraph" w:styleId="CommentText">
    <w:name w:val="annotation text"/>
    <w:basedOn w:val="Normal"/>
    <w:link w:val="CommentTextChar"/>
    <w:uiPriority w:val="99"/>
    <w:unhideWhenUsed w:val="1"/>
    <w:rsid w:val="00354536"/>
    <w:rPr>
      <w:sz w:val="20"/>
      <w:szCs w:val="20"/>
    </w:rPr>
  </w:style>
  <w:style w:type="character" w:styleId="CommentTextChar" w:customStyle="1">
    <w:name w:val="Comment Text Char"/>
    <w:basedOn w:val="DefaultParagraphFont"/>
    <w:link w:val="CommentText"/>
    <w:uiPriority w:val="99"/>
    <w:rsid w:val="00354536"/>
    <w:rPr>
      <w:rFonts w:eastAsia="Times New Roman"/>
    </w:rPr>
  </w:style>
  <w:style w:type="paragraph" w:styleId="CommentSubject">
    <w:name w:val="annotation subject"/>
    <w:basedOn w:val="CommentText"/>
    <w:next w:val="CommentText"/>
    <w:link w:val="CommentSubjectChar"/>
    <w:uiPriority w:val="99"/>
    <w:semiHidden w:val="1"/>
    <w:unhideWhenUsed w:val="1"/>
    <w:rsid w:val="00354536"/>
    <w:rPr>
      <w:b w:val="1"/>
      <w:bCs w:val="1"/>
    </w:rPr>
  </w:style>
  <w:style w:type="character" w:styleId="CommentSubjectChar" w:customStyle="1">
    <w:name w:val="Comment Subject Char"/>
    <w:basedOn w:val="CommentTextChar"/>
    <w:link w:val="CommentSubject"/>
    <w:uiPriority w:val="99"/>
    <w:semiHidden w:val="1"/>
    <w:rsid w:val="00354536"/>
    <w:rPr>
      <w:rFonts w:eastAsia="Times New Roman"/>
      <w:b w:val="1"/>
      <w:bCs w:val="1"/>
    </w:rPr>
  </w:style>
  <w:style w:type="character" w:styleId="PlaceholderText">
    <w:name w:val="Placeholder Text"/>
    <w:basedOn w:val="DefaultParagraphFont"/>
    <w:uiPriority w:val="99"/>
    <w:semiHidden w:val="1"/>
    <w:rsid w:val="00480F91"/>
    <w:rPr>
      <w:color w:val="808080"/>
    </w:rPr>
  </w:style>
  <w:style w:type="paragraph" w:styleId="Revision">
    <w:name w:val="Revision"/>
    <w:hidden w:val="1"/>
    <w:uiPriority w:val="99"/>
    <w:semiHidden w:val="1"/>
    <w:rsid w:val="00DC1E8A"/>
    <w:rPr>
      <w:rFonts w:eastAsia="Times New Roman"/>
      <w:sz w:val="24"/>
      <w:szCs w:val="24"/>
    </w:rPr>
  </w:style>
  <w:style w:type="paragraph" w:styleId="NormalWeb">
    <w:name w:val="Normal (Web)"/>
    <w:basedOn w:val="Normal"/>
    <w:uiPriority w:val="99"/>
    <w:unhideWhenUsed w:val="1"/>
    <w:rsid w:val="000062AD"/>
    <w:pPr>
      <w:spacing w:after="100" w:afterAutospacing="1" w:before="100" w:beforeAutospacing="1"/>
    </w:pPr>
  </w:style>
  <w:style w:type="character" w:styleId="apple-tab-span" w:customStyle="1">
    <w:name w:val="apple-tab-span"/>
    <w:basedOn w:val="DefaultParagraphFont"/>
    <w:rsid w:val="000062A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VxWbnyWBFskSuS91DzBMpVJ66A==">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2022-09-25T19:00:00Z</dcterms:created>
  <dc:creator>DOIT</dc:creator>
</cp:coreProperties>
</file>